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E49D" w14:textId="77777777" w:rsidR="00D6027F" w:rsidRDefault="00D6027F" w:rsidP="00D6027F">
      <w:r>
        <w:t>Peer-reviewed</w:t>
      </w:r>
    </w:p>
    <w:p w14:paraId="406723B7" w14:textId="77777777" w:rsidR="00D6027F" w:rsidRDefault="00D6027F" w:rsidP="00D6027F"/>
    <w:p w14:paraId="4FD204A9" w14:textId="77777777" w:rsidR="00D6027F" w:rsidRDefault="00D6027F" w:rsidP="00D6027F">
      <w:r>
        <w:t xml:space="preserve">Woods K, Hayanga JWA, Cannon J, Lemons W, Philips M, Schmidt A, </w:t>
      </w:r>
      <w:proofErr w:type="spellStart"/>
      <w:r>
        <w:t>Boh</w:t>
      </w:r>
      <w:proofErr w:type="spellEnd"/>
      <w:r>
        <w:t xml:space="preserve"> R, Noor K, Fornaresio L, Thibault D, Martin P, Wilson A, Hayanga HK. Staffing in a Level 1 trauma center: quantifying capacity for preparedness. Disaster Med Public Health Prep. (accepted for publication)</w:t>
      </w:r>
    </w:p>
    <w:p w14:paraId="4709B7C9" w14:textId="77777777" w:rsidR="00D6027F" w:rsidRDefault="00D6027F" w:rsidP="00D6027F">
      <w:r>
        <w:t xml:space="preserve"> </w:t>
      </w:r>
    </w:p>
    <w:p w14:paraId="5ADC858A" w14:textId="77777777" w:rsidR="00D6027F" w:rsidRDefault="00D6027F" w:rsidP="00D6027F">
      <w:r>
        <w:t xml:space="preserve">Woods K, </w:t>
      </w:r>
      <w:proofErr w:type="spellStart"/>
      <w:r>
        <w:t>Minc</w:t>
      </w:r>
      <w:proofErr w:type="spellEnd"/>
      <w:r>
        <w:t xml:space="preserve"> SD, Thibault D, Lambert J, Jalil A, Marone L, Ellison M, Hayanga JWA, Hayanga HK. Anesthetic choice for arteriovenous access creation: a National Anesthesia Clinical Outcomes Registry analysis. J </w:t>
      </w:r>
      <w:proofErr w:type="spellStart"/>
      <w:r>
        <w:t>Vasc</w:t>
      </w:r>
      <w:proofErr w:type="spellEnd"/>
      <w:r>
        <w:t xml:space="preserve"> Access. (accepted for publication)</w:t>
      </w:r>
    </w:p>
    <w:p w14:paraId="58FBF212" w14:textId="77777777" w:rsidR="00D6027F" w:rsidRDefault="00D6027F" w:rsidP="00D6027F">
      <w:r>
        <w:t xml:space="preserve"> </w:t>
      </w:r>
    </w:p>
    <w:p w14:paraId="54828ECE" w14:textId="77777777" w:rsidR="00D6027F" w:rsidRDefault="00D6027F" w:rsidP="00D6027F">
      <w:r>
        <w:t xml:space="preserve"> Hayanga HK, Woods KE, Thibault DP, Ellison MB, </w:t>
      </w:r>
      <w:proofErr w:type="spellStart"/>
      <w:r>
        <w:t>Boh</w:t>
      </w:r>
      <w:proofErr w:type="spellEnd"/>
      <w:r>
        <w:t xml:space="preserve"> RN, </w:t>
      </w:r>
      <w:proofErr w:type="spellStart"/>
      <w:r>
        <w:t>Raybuck</w:t>
      </w:r>
      <w:proofErr w:type="spellEnd"/>
      <w:r>
        <w:t xml:space="preserve"> BD, Sengupta PP, Badhwar V, Hayanga JWA. Anesthetic management for transcatheter aortic valve replacement: a National Anesthesia Clinical Outcomes Registry analysis. Annals of Cardiac </w:t>
      </w:r>
      <w:proofErr w:type="spellStart"/>
      <w:r>
        <w:t>Anaesthesia</w:t>
      </w:r>
      <w:proofErr w:type="spellEnd"/>
      <w:r>
        <w:t>. (accepted for publication)</w:t>
      </w:r>
    </w:p>
    <w:p w14:paraId="2FAD4EC0" w14:textId="77777777" w:rsidR="00D6027F" w:rsidRDefault="00D6027F" w:rsidP="00D6027F">
      <w:r>
        <w:t xml:space="preserve"> </w:t>
      </w:r>
    </w:p>
    <w:p w14:paraId="26B2F464" w14:textId="77777777" w:rsidR="00D6027F" w:rsidRDefault="00D6027F" w:rsidP="00D6027F">
      <w:r>
        <w:t xml:space="preserve"> Lambert J, Hayanga JWA, Turley S, McCarthy P, Salman M, Kabulski G, Henrickson R. Cook C, Hayanga HK. Successful treatment of intravenous drug abuser with refractory </w:t>
      </w:r>
      <w:proofErr w:type="spellStart"/>
      <w:r>
        <w:t>vasoplegic</w:t>
      </w:r>
      <w:proofErr w:type="spellEnd"/>
      <w:r>
        <w:t xml:space="preserve"> syndrome after mitral valve repair for infective endocarditis. SAGE Open Med Case Rep. June 2021 (accepted for publication)</w:t>
      </w:r>
    </w:p>
    <w:p w14:paraId="3A567599" w14:textId="77777777" w:rsidR="00D6027F" w:rsidRDefault="00D6027F" w:rsidP="00D6027F">
      <w:r>
        <w:t xml:space="preserve"> </w:t>
      </w:r>
    </w:p>
    <w:p w14:paraId="21EA3D2F" w14:textId="77777777" w:rsidR="00D6027F" w:rsidRDefault="00D6027F" w:rsidP="00D6027F">
      <w:r>
        <w:t xml:space="preserve"> Dhamija A, </w:t>
      </w:r>
      <w:proofErr w:type="spellStart"/>
      <w:r>
        <w:t>Kakuturu</w:t>
      </w:r>
      <w:proofErr w:type="spellEnd"/>
      <w:r>
        <w:t xml:space="preserve"> J, </w:t>
      </w:r>
      <w:proofErr w:type="spellStart"/>
      <w:r>
        <w:t>Schauble</w:t>
      </w:r>
      <w:proofErr w:type="spellEnd"/>
      <w:r>
        <w:t xml:space="preserve"> D, Hayanga HK, Jacobs JP, Badhwar V, Hayanga JWA. Outcome and cost of nurse-led versus perfusionist-led extracorporeal membrane oxygenation. Ann </w:t>
      </w:r>
      <w:proofErr w:type="spellStart"/>
      <w:r>
        <w:t>Thorac</w:t>
      </w:r>
      <w:proofErr w:type="spellEnd"/>
      <w:r>
        <w:t xml:space="preserve"> Surg. May 2021. PMID: 34043952 (online ahead of print)</w:t>
      </w:r>
    </w:p>
    <w:p w14:paraId="3239FC4E" w14:textId="77777777" w:rsidR="00D6027F" w:rsidRDefault="00D6027F" w:rsidP="00D6027F">
      <w:r>
        <w:t xml:space="preserve"> </w:t>
      </w:r>
    </w:p>
    <w:p w14:paraId="75911A11" w14:textId="77777777" w:rsidR="00D6027F" w:rsidRDefault="00D6027F" w:rsidP="00D6027F">
      <w:r>
        <w:t xml:space="preserve"> McGuire JA, Hayanga HK, Hayanga JW, Sloyer D, Ellison M, Wei L, Rankin JS, Badhwar V. </w:t>
      </w:r>
      <w:proofErr w:type="spellStart"/>
      <w:r>
        <w:t>Quadricuspid</w:t>
      </w:r>
      <w:proofErr w:type="spellEnd"/>
      <w:r>
        <w:t xml:space="preserve"> aortic valve repair facilitated by geometric ring annuloplasty. Innovations. Apr 2021. PMID: 33877922 (online ahead of print)</w:t>
      </w:r>
    </w:p>
    <w:p w14:paraId="5AA2074B" w14:textId="77777777" w:rsidR="00D6027F" w:rsidRDefault="00D6027F" w:rsidP="00D6027F">
      <w:r>
        <w:t xml:space="preserve"> </w:t>
      </w:r>
    </w:p>
    <w:p w14:paraId="14FEB1AC" w14:textId="77777777" w:rsidR="00D6027F" w:rsidRDefault="00D6027F" w:rsidP="00D6027F">
      <w:r>
        <w:t xml:space="preserve">Dhamija A, Thibault D, </w:t>
      </w:r>
      <w:proofErr w:type="spellStart"/>
      <w:r>
        <w:t>Fugett</w:t>
      </w:r>
      <w:proofErr w:type="spellEnd"/>
      <w:r>
        <w:t xml:space="preserve"> J, Hayanga HK, McCarthy P, Badhwar V, Hayanga JWA. Incremental effect of complications   on mortality and hospital costs in adult ECMO patients. Perfusion. Mar 2021. PMID: 33765884 (online ahead of print)</w:t>
      </w:r>
    </w:p>
    <w:p w14:paraId="09F2DCC5" w14:textId="77777777" w:rsidR="00D6027F" w:rsidRDefault="00D6027F" w:rsidP="00D6027F">
      <w:r>
        <w:t xml:space="preserve"> </w:t>
      </w:r>
    </w:p>
    <w:p w14:paraId="450C1768" w14:textId="77777777" w:rsidR="00D6027F" w:rsidRDefault="00D6027F" w:rsidP="00D6027F">
      <w:r>
        <w:lastRenderedPageBreak/>
        <w:t xml:space="preserve"> McGuire JA, McCarthy P, Herron R, Hayanga JWA, </w:t>
      </w:r>
      <w:proofErr w:type="spellStart"/>
      <w:r>
        <w:t>Nandwani</w:t>
      </w:r>
      <w:proofErr w:type="spellEnd"/>
      <w:r>
        <w:t xml:space="preserve"> V, </w:t>
      </w:r>
      <w:proofErr w:type="spellStart"/>
      <w:r>
        <w:t>Fugett</w:t>
      </w:r>
      <w:proofErr w:type="spellEnd"/>
      <w:r>
        <w:t xml:space="preserve"> J, Hayanga HK. Extracorporeal life support for massive hemoptysis and acute lung injury due to ANCA-negative vasculitis. J </w:t>
      </w:r>
      <w:proofErr w:type="spellStart"/>
      <w:r>
        <w:t>Anaesth</w:t>
      </w:r>
      <w:proofErr w:type="spellEnd"/>
      <w:r>
        <w:t xml:space="preserve"> </w:t>
      </w:r>
      <w:proofErr w:type="spellStart"/>
      <w:r>
        <w:t>Crit</w:t>
      </w:r>
      <w:proofErr w:type="spellEnd"/>
      <w:r>
        <w:t xml:space="preserve"> Care Case Rep. Jan-Apr 2021; 7(1): 4-7. DOI: 10.13107/jaccr.2021.v07i01.165</w:t>
      </w:r>
    </w:p>
    <w:p w14:paraId="7BEAC034" w14:textId="77777777" w:rsidR="00D6027F" w:rsidRDefault="00D6027F" w:rsidP="00D6027F">
      <w:r>
        <w:t xml:space="preserve"> </w:t>
      </w:r>
    </w:p>
    <w:p w14:paraId="77DC7968" w14:textId="77777777" w:rsidR="00D6027F" w:rsidRDefault="00D6027F" w:rsidP="00D6027F">
      <w:r>
        <w:t xml:space="preserve"> Cannon J, Hayanga JWA, </w:t>
      </w:r>
      <w:proofErr w:type="spellStart"/>
      <w:r>
        <w:t>Drvar</w:t>
      </w:r>
      <w:proofErr w:type="spellEnd"/>
      <w:r>
        <w:t xml:space="preserve"> TB, Ellison M, Cook C, Salman M, Roberts H, Badhwar V, Hayanga HK. A 34-year-old male intravenous drug user with a third episode of tricuspid valve endocarditis treated with repeat valve surgery. Am J Case Rep. Mar 2021; 22: e927385. PMID: 33776054</w:t>
      </w:r>
    </w:p>
    <w:p w14:paraId="602A87FC" w14:textId="77777777" w:rsidR="00D6027F" w:rsidRDefault="00D6027F" w:rsidP="00D6027F">
      <w:r>
        <w:t xml:space="preserve"> </w:t>
      </w:r>
    </w:p>
    <w:p w14:paraId="5AAFBC77" w14:textId="77777777" w:rsidR="00D6027F" w:rsidRDefault="00D6027F" w:rsidP="00D6027F">
      <w:r>
        <w:t xml:space="preserve"> Dada R, Hayanga JWA, Woods K, Schwartzman D, Thibault D, Ellison M, Schmidt S, </w:t>
      </w:r>
      <w:proofErr w:type="spellStart"/>
      <w:r>
        <w:t>Siddoway</w:t>
      </w:r>
      <w:proofErr w:type="spellEnd"/>
      <w:r>
        <w:t xml:space="preserve"> D, Badhwar V, Hayanga HK. Anesthetic choice for atrial fibrillation ablation: a National Anesthesia Clinical Outcomes Registry analysis. J </w:t>
      </w:r>
      <w:proofErr w:type="spellStart"/>
      <w:r>
        <w:t>Cardiothorac</w:t>
      </w:r>
      <w:proofErr w:type="spellEnd"/>
      <w:r>
        <w:t xml:space="preserve"> </w:t>
      </w:r>
      <w:proofErr w:type="spellStart"/>
      <w:r>
        <w:t>Vasc</w:t>
      </w:r>
      <w:proofErr w:type="spellEnd"/>
      <w:r>
        <w:t xml:space="preserve"> </w:t>
      </w:r>
      <w:proofErr w:type="spellStart"/>
      <w:r>
        <w:t>Anesth</w:t>
      </w:r>
      <w:proofErr w:type="spellEnd"/>
      <w:r>
        <w:t>. Jan 2021. PMID: 33518460 (online ahead of print)</w:t>
      </w:r>
    </w:p>
    <w:p w14:paraId="22DE0CFB" w14:textId="77777777" w:rsidR="00D6027F" w:rsidRDefault="00D6027F" w:rsidP="00D6027F">
      <w:r>
        <w:t xml:space="preserve"> </w:t>
      </w:r>
    </w:p>
    <w:p w14:paraId="3BA4B44D" w14:textId="77777777" w:rsidR="00D6027F" w:rsidRDefault="00D6027F" w:rsidP="00D6027F">
      <w:r>
        <w:t xml:space="preserve">Woods KE, Hayanga JWA, Sloyer D, Henrickson R, Wei LM, Hayanga HK. Coronary artery bypass grafting in a patient with dextrocardia with situs inversus. Case Rep </w:t>
      </w:r>
      <w:proofErr w:type="spellStart"/>
      <w:r>
        <w:t>Anesthesiol</w:t>
      </w:r>
      <w:proofErr w:type="spellEnd"/>
      <w:r>
        <w:t>. Dec 2020: 8885881. PMID: 33414968</w:t>
      </w:r>
    </w:p>
    <w:p w14:paraId="38A5D3E0" w14:textId="77777777" w:rsidR="00D6027F" w:rsidRDefault="00D6027F" w:rsidP="00D6027F"/>
    <w:p w14:paraId="4CBE136A" w14:textId="77777777" w:rsidR="00D6027F" w:rsidRDefault="00D6027F" w:rsidP="00D6027F"/>
    <w:p w14:paraId="32FB9796" w14:textId="77777777" w:rsidR="00D6027F" w:rsidRDefault="00D6027F" w:rsidP="00D6027F">
      <w:r>
        <w:t xml:space="preserve">Boyle A, Dotson S, Ellison P, Hayanga HK. Application of the principles of biomedical ethics to the labor and delivery unit during the COVID-19 pandemic. J </w:t>
      </w:r>
      <w:proofErr w:type="spellStart"/>
      <w:r>
        <w:t>Womens</w:t>
      </w:r>
      <w:proofErr w:type="spellEnd"/>
      <w:r>
        <w:t xml:space="preserve"> Health. Nov 2020; 29(11): 1361-1371. PMID: 33196330</w:t>
      </w:r>
    </w:p>
    <w:p w14:paraId="78F3134E" w14:textId="77777777" w:rsidR="00D6027F" w:rsidRDefault="00D6027F" w:rsidP="00D6027F">
      <w:r>
        <w:t xml:space="preserve"> </w:t>
      </w:r>
    </w:p>
    <w:p w14:paraId="203891EC" w14:textId="77777777" w:rsidR="00D6027F" w:rsidRDefault="00D6027F" w:rsidP="00D6027F">
      <w:proofErr w:type="spellStart"/>
      <w:r>
        <w:t>Minc</w:t>
      </w:r>
      <w:proofErr w:type="spellEnd"/>
      <w:r>
        <w:t xml:space="preserve"> SD, Hayanga HK, Thibault D, Woods K, Marone L, Badhwar V, Hayanga JWA. Vascular complications increase hospital charges and mortality in adult patients on extracorporeal membrane oxygenation in the United States. J </w:t>
      </w:r>
      <w:proofErr w:type="spellStart"/>
      <w:r>
        <w:t>Thorac</w:t>
      </w:r>
      <w:proofErr w:type="spellEnd"/>
      <w:r>
        <w:t xml:space="preserve"> Cardiovasc Surg. Sep 2020. PMID: 32977018 (online ahead of print)</w:t>
      </w:r>
    </w:p>
    <w:p w14:paraId="3542C481" w14:textId="77777777" w:rsidR="00D6027F" w:rsidRDefault="00D6027F" w:rsidP="00D6027F">
      <w:r>
        <w:t xml:space="preserve"> </w:t>
      </w:r>
    </w:p>
    <w:p w14:paraId="5D79646D" w14:textId="77777777" w:rsidR="00D6027F" w:rsidRDefault="00D6027F" w:rsidP="00D6027F">
      <w:r>
        <w:t xml:space="preserve">Vanek TW, Hayanga J, Ellison M, Puette J, Wei L, Hayanga HK. Aortic cannulation around grade 5 aortic arch atheroma utilizing transesophageal echocardiography. Case Rep </w:t>
      </w:r>
      <w:proofErr w:type="spellStart"/>
      <w:r>
        <w:t>Anesthesiol</w:t>
      </w:r>
      <w:proofErr w:type="spellEnd"/>
      <w:r>
        <w:t>. Nov 2020: 8820948. PMID: 33204539</w:t>
      </w:r>
    </w:p>
    <w:p w14:paraId="150E8217" w14:textId="77777777" w:rsidR="00D6027F" w:rsidRDefault="00D6027F" w:rsidP="00D6027F">
      <w:r>
        <w:t xml:space="preserve"> </w:t>
      </w:r>
    </w:p>
    <w:p w14:paraId="68A173AF" w14:textId="77777777" w:rsidR="00D6027F" w:rsidRDefault="00D6027F" w:rsidP="00D6027F">
      <w:r>
        <w:t xml:space="preserve">Hayanga JWA, Hayanga HK, Dhamija A, </w:t>
      </w:r>
      <w:proofErr w:type="spellStart"/>
      <w:r>
        <w:t>Fugett</w:t>
      </w:r>
      <w:proofErr w:type="spellEnd"/>
      <w:r>
        <w:t xml:space="preserve"> J, Cook C, Powell D, McCarthy P, Olfert M, Badhwar V, </w:t>
      </w:r>
      <w:proofErr w:type="spellStart"/>
      <w:r>
        <w:t>Toker</w:t>
      </w:r>
      <w:proofErr w:type="spellEnd"/>
      <w:r>
        <w:t xml:space="preserve"> A. Extracorporeal support to treat E-cigarette or vaping product use-associated lung injury (EVALI) </w:t>
      </w:r>
      <w:r>
        <w:lastRenderedPageBreak/>
        <w:t>during the coronavirus disease (COVID-19) pandemic. JTCVS Tech. Sep 2020; 3: 381-384. PMID: 32995757</w:t>
      </w:r>
    </w:p>
    <w:p w14:paraId="14DFFDC8" w14:textId="77777777" w:rsidR="00D6027F" w:rsidRDefault="00D6027F" w:rsidP="00D6027F">
      <w:r>
        <w:t xml:space="preserve"> </w:t>
      </w:r>
    </w:p>
    <w:p w14:paraId="7017A923" w14:textId="77777777" w:rsidR="00D6027F" w:rsidRDefault="00D6027F" w:rsidP="00D6027F">
      <w:r>
        <w:t xml:space="preserve">Ellison MB, Statler A, Henrickson RE, Graff J, Sloyer D, Khan MAA, Hayanga HK, Ellison PR. Iatrogenic superior vena cava syndrome after cardiopulmonary bypass diagnosed by intraoperative echocardiography. Case Rep </w:t>
      </w:r>
      <w:proofErr w:type="spellStart"/>
      <w:r>
        <w:t>Anesthesiolog</w:t>
      </w:r>
      <w:proofErr w:type="spellEnd"/>
      <w:r>
        <w:t>. Aug 2020: 8813065. PMID: 32908711</w:t>
      </w:r>
    </w:p>
    <w:p w14:paraId="56C0887E" w14:textId="77777777" w:rsidR="00D6027F" w:rsidRDefault="00D6027F" w:rsidP="00D6027F">
      <w:r>
        <w:t xml:space="preserve"> </w:t>
      </w:r>
    </w:p>
    <w:p w14:paraId="33412F74" w14:textId="77777777" w:rsidR="00D6027F" w:rsidRDefault="00D6027F" w:rsidP="00D6027F">
      <w:r>
        <w:t xml:space="preserve">Hayanga JWA, Hayanga HK, </w:t>
      </w:r>
      <w:proofErr w:type="spellStart"/>
      <w:r>
        <w:t>Fugett</w:t>
      </w:r>
      <w:proofErr w:type="spellEnd"/>
      <w:r>
        <w:t xml:space="preserve"> JH, Musgrove KA, Abbas G, Ensor CR, Badhwar V, Shigemura N. Contemporary look at extracorporeal membrane oxygenation as a bridge to </w:t>
      </w:r>
      <w:proofErr w:type="spellStart"/>
      <w:r>
        <w:t>reoperative</w:t>
      </w:r>
      <w:proofErr w:type="spellEnd"/>
      <w:r>
        <w:t xml:space="preserve"> lung transplantation in the United States – a retrospective study. </w:t>
      </w:r>
      <w:proofErr w:type="spellStart"/>
      <w:r>
        <w:t>Transpl</w:t>
      </w:r>
      <w:proofErr w:type="spellEnd"/>
      <w:r>
        <w:t xml:space="preserve"> Int. Aug 2020; 33(8): 895-901. PMID: 32299135</w:t>
      </w:r>
    </w:p>
    <w:p w14:paraId="66C63B45" w14:textId="77777777" w:rsidR="00D6027F" w:rsidRDefault="00D6027F" w:rsidP="00D6027F">
      <w:r>
        <w:t xml:space="preserve"> </w:t>
      </w:r>
    </w:p>
    <w:p w14:paraId="5DDCC6DE" w14:textId="77777777" w:rsidR="00D6027F" w:rsidRDefault="00D6027F" w:rsidP="00D6027F">
      <w:r>
        <w:t xml:space="preserve">Subramaniam K, </w:t>
      </w:r>
      <w:proofErr w:type="spellStart"/>
      <w:r>
        <w:t>Sciortino</w:t>
      </w:r>
      <w:proofErr w:type="spellEnd"/>
      <w:r>
        <w:t xml:space="preserve"> C, </w:t>
      </w:r>
      <w:proofErr w:type="spellStart"/>
      <w:r>
        <w:t>Althouse</w:t>
      </w:r>
      <w:proofErr w:type="spellEnd"/>
      <w:r>
        <w:t xml:space="preserve"> A, Monroe A, </w:t>
      </w:r>
      <w:proofErr w:type="spellStart"/>
      <w:r>
        <w:t>Sharbaugh</w:t>
      </w:r>
      <w:proofErr w:type="spellEnd"/>
      <w:r>
        <w:t xml:space="preserve"> M, Esper S, </w:t>
      </w:r>
      <w:proofErr w:type="spellStart"/>
      <w:r>
        <w:t>Boisen</w:t>
      </w:r>
      <w:proofErr w:type="spellEnd"/>
      <w:r>
        <w:t xml:space="preserve"> M, Marquez J, Hayanga H, Badhwar V. Remifentanil and perioperative </w:t>
      </w:r>
      <w:proofErr w:type="spellStart"/>
      <w:r>
        <w:t>glycaemic</w:t>
      </w:r>
      <w:proofErr w:type="spellEnd"/>
      <w:r>
        <w:t xml:space="preserve"> response in cardiac surgery: an open-label, </w:t>
      </w:r>
      <w:proofErr w:type="spellStart"/>
      <w:r>
        <w:t>randomised</w:t>
      </w:r>
      <w:proofErr w:type="spellEnd"/>
      <w:r>
        <w:t xml:space="preserve"> trial. Br J </w:t>
      </w:r>
      <w:proofErr w:type="spellStart"/>
      <w:r>
        <w:t>Anaesth</w:t>
      </w:r>
      <w:proofErr w:type="spellEnd"/>
      <w:r>
        <w:t>. Jun 2020; 124(6): 684-692. PMID: 32247539</w:t>
      </w:r>
    </w:p>
    <w:p w14:paraId="79C615B3" w14:textId="77777777" w:rsidR="00D6027F" w:rsidRDefault="00D6027F" w:rsidP="00D6027F">
      <w:r>
        <w:t xml:space="preserve"> </w:t>
      </w:r>
    </w:p>
    <w:p w14:paraId="3F3B792D" w14:textId="77777777" w:rsidR="00D6027F" w:rsidRDefault="00D6027F" w:rsidP="00D6027F">
      <w:r>
        <w:t xml:space="preserve">Hayanga JWA, Chan EG, Musgrove K, Leung A, Shigemura N, Hayanga HK. Extracorporeal membrane oxygenation in the perioperative care of the lung transplant patient. Semin </w:t>
      </w:r>
      <w:proofErr w:type="spellStart"/>
      <w:r>
        <w:t>Cardiothorac</w:t>
      </w:r>
      <w:proofErr w:type="spellEnd"/>
      <w:r>
        <w:t xml:space="preserve"> </w:t>
      </w:r>
      <w:proofErr w:type="spellStart"/>
      <w:r>
        <w:t>Vasc</w:t>
      </w:r>
      <w:proofErr w:type="spellEnd"/>
      <w:r>
        <w:t xml:space="preserve"> </w:t>
      </w:r>
      <w:proofErr w:type="spellStart"/>
      <w:r>
        <w:t>Anesth</w:t>
      </w:r>
      <w:proofErr w:type="spellEnd"/>
      <w:r>
        <w:t>. Mar 2020; 24(1): 45-53. PMID: 31893982</w:t>
      </w:r>
    </w:p>
    <w:p w14:paraId="67A484A5" w14:textId="77777777" w:rsidR="00D6027F" w:rsidRDefault="00D6027F" w:rsidP="00D6027F">
      <w:r>
        <w:t xml:space="preserve"> </w:t>
      </w:r>
    </w:p>
    <w:p w14:paraId="2D818ADB" w14:textId="77777777" w:rsidR="00D6027F" w:rsidRDefault="00D6027F" w:rsidP="00D6027F">
      <w:r>
        <w:t xml:space="preserve">Hayanga JWA, Aboagye J, Bush E, Canner J, Hayanga HK, </w:t>
      </w:r>
      <w:proofErr w:type="spellStart"/>
      <w:r>
        <w:t>Klingbeil</w:t>
      </w:r>
      <w:proofErr w:type="spellEnd"/>
      <w:r>
        <w:t xml:space="preserve"> A, McCarthy P, </w:t>
      </w:r>
      <w:proofErr w:type="spellStart"/>
      <w:r>
        <w:t>Fugett</w:t>
      </w:r>
      <w:proofErr w:type="spellEnd"/>
      <w:r>
        <w:t xml:space="preserve"> J, Abbas G, Badhwar V. Contemporary analysis of charges and mortality in the use of extracorporeal membrane oxygenation: a cautionary tale. JTCVS Open. Mar 2020; 1(C ): 61-70.</w:t>
      </w:r>
    </w:p>
    <w:p w14:paraId="5DB8B006" w14:textId="77777777" w:rsidR="00D6027F" w:rsidRDefault="00D6027F" w:rsidP="00D6027F"/>
    <w:p w14:paraId="1145C66D" w14:textId="77777777" w:rsidR="00D6027F" w:rsidRDefault="00D6027F" w:rsidP="00D6027F">
      <w:r>
        <w:t>Book chapters</w:t>
      </w:r>
    </w:p>
    <w:p w14:paraId="3CD9FAD2" w14:textId="77777777" w:rsidR="00D6027F" w:rsidRDefault="00D6027F" w:rsidP="00D6027F"/>
    <w:p w14:paraId="11781F1C" w14:textId="77777777" w:rsidR="00D6027F" w:rsidRDefault="00D6027F" w:rsidP="00D6027F">
      <w:r>
        <w:t xml:space="preserve">McIsaac J, Mark N., Hayanga HK. Austere environment and disaster preparedness. In Hagberg &amp; </w:t>
      </w:r>
      <w:proofErr w:type="spellStart"/>
      <w:r>
        <w:t>Benumof’s</w:t>
      </w:r>
      <w:proofErr w:type="spellEnd"/>
      <w:r>
        <w:t xml:space="preserve"> airway management 5e. Elsevier Publications (accepted for publication)</w:t>
      </w:r>
    </w:p>
    <w:p w14:paraId="484E4053" w14:textId="77777777" w:rsidR="00D6027F" w:rsidRDefault="00D6027F" w:rsidP="00D6027F">
      <w:r>
        <w:t xml:space="preserve"> </w:t>
      </w:r>
    </w:p>
    <w:p w14:paraId="76129206" w14:textId="509A176D" w:rsidR="00FA540B" w:rsidRDefault="00D6027F" w:rsidP="00D6027F">
      <w:r>
        <w:lastRenderedPageBreak/>
        <w:t>Hayanga HK, Hayanga JWA, McGuire J, Badhwar V. Anesthetic management for surgical myectomy in hypertrophic cardiomyopathy. In Hypertrophic cardiomyopathy: a practical guide for diagnosis and management. Taylor and Francis Publications. Nov 2020.</w:t>
      </w:r>
    </w:p>
    <w:p w14:paraId="42819574" w14:textId="004F495A" w:rsidR="00080C2C" w:rsidRDefault="00080C2C" w:rsidP="00D6027F"/>
    <w:p w14:paraId="2A8662D1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Dunn LK, Taylor DG, Fang 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Yerra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S, Buell TJ, Chen CJ, Tsang S, Spangler SN, Smith JS,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Shaffrey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Durieux ME, Naik BI. “Post-operative low-dose TXA after major spine surgery: A matched cohort analysis”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Neurospine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(in press) </w:t>
      </w:r>
    </w:p>
    <w:p w14:paraId="0089B0CA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D4FE616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Sun H, Chen D, Warner DO, Zhou Y,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A, Keegan MT.  “Anesthesiology Residents’ Experiences and Perspectives of Residency Training”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Anesthesia &amp; Analgesia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2021;132(4):1120-1128. </w:t>
      </w:r>
    </w:p>
    <w:p w14:paraId="3D3AB661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0738B1F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KT. “Distraction in the Operating Room: A Review of Environmental and Self-initiated Distractions and Their Effect on Anesthesia Providers”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Clinical Anesthesia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2021; 68: 110110. </w:t>
      </w:r>
    </w:p>
    <w:p w14:paraId="3BACDC9C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19816EC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KT, Dunn LK,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Kotha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N, Bechtel AJ, Kleiman AM,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Huffmyer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JL, Collins SR, Lyons GR, Ma JZ,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“Influence of Age and Sex on Patient Perceptions of Anesthesiologists”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Anesthesiology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2021; 134: 103-110. </w:t>
      </w:r>
    </w:p>
    <w:p w14:paraId="72B45C29" w14:textId="77777777" w:rsidR="00080C2C" w:rsidRDefault="00080C2C" w:rsidP="0008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C4077A0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Walker CT, Kim HJ, Park 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LG Smith JS,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Sciubba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D, Wang MY,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Shaffrey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Deviren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Mummaneni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PV, Turner JD, Than KD,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Crespi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Berjano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Eastlack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RK,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Mundis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GM, Kanter AS,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Okonkow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DO, Shin JH, Koski T, Hoh D, Glassman SD, Daniels AH, Clavijo 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McLawhorn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M, Uribe JS.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Neuroanesthesia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Guidelines for Optimizing Transcranial Motor Evoked Potentials Neuromonitoring during Deformity and Complex Spinal Surgery: A Delphi Consensus Study”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(Phila Pa 1976). 2020; 45(13): 911-920 </w:t>
      </w:r>
    </w:p>
    <w:p w14:paraId="2039E9CD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8CB2B8C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Salajegheh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Rice T, Joseph R, Tsang 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Sarosiek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Muthusubramanian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Hipwell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K, Horton K, Naik BI.  “Impact of A Perioperative Oral Opioid Substitution Protocol During The Nationwide Intravenous Opioid Shortage: A Single Center, Interrupted Time Series with Segmented Regression Analysis.” 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ONE </w:t>
      </w:r>
      <w:r>
        <w:rPr>
          <w:rFonts w:ascii="Times New Roman" w:hAnsi="Times New Roman" w:cs="Times New Roman"/>
          <w:color w:val="000000"/>
          <w:sz w:val="24"/>
          <w:szCs w:val="24"/>
        </w:rPr>
        <w:t>15 (6): e0234199  </w:t>
      </w:r>
    </w:p>
    <w:p w14:paraId="55527E0A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58BA19DA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Chiao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SS, Naik BI,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JT, Durieux ME,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“Individualized Quality Data Feedback Improves Anesthesiology Residents’ Documentation of Depth of Neuromuscular Blockade Prior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Extubation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 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Anesthesia &amp; Analgesia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2020; 130(3): e49-e53. </w:t>
      </w:r>
    </w:p>
    <w:p w14:paraId="767EA053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2D99213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Dunn, LK, Thiele, RH,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Shaffrey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Shaffrey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ME, Smith, JS, Tsang, S, Durieux, ME,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Naik, BI. “The Impact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Alvimopan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Return of Bowel Function After Major Spine Surgery-A Prospective, Randomized, Double Blind Study”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Neurosurgery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Aug 1;85(2):E233-E239. </w:t>
      </w:r>
    </w:p>
    <w:p w14:paraId="1FC5E1E8" w14:textId="77777777" w:rsidR="00080C2C" w:rsidRDefault="00080C2C" w:rsidP="00080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57856A1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Huffmyer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JL, Kleiman, AM, Moncrief, M,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Scalzo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DC, Cox, DJ,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EC.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“The Impact of Caffeine Ingestion on the Driving Performance of Anesthesiology Residents after Six Consecutive Overnight Work Shifts”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Anesthesia &amp; Analgesia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2020;130(1):66-75. </w:t>
      </w:r>
    </w:p>
    <w:p w14:paraId="74A00DB1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B3A29C6" w14:textId="2F071EB9" w:rsidR="00080C2C" w:rsidRDefault="00080C2C" w:rsidP="00080C2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Dunn LK, Taylor DG, Chen CJ, Singla 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Fernández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Wiedle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MF, Tsang S, Smith JS,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Shaffrey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Nemergut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Durieux ME, Blank RS, Naik BI. “Ventilator Mode Does Not Influence Blood Loss or Transfusion Requirements During Major Spine Surgery: A Retrospective Study”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Anesthesia &amp; Analgesia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2020;130(1):100-110. </w:t>
      </w:r>
    </w:p>
    <w:p w14:paraId="3F3266FD" w14:textId="0BA5D234" w:rsidR="00F40F9B" w:rsidRDefault="00F40F9B" w:rsidP="00080C2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DC3A5" w14:textId="63438710" w:rsidR="00F40F9B" w:rsidRDefault="00F40F9B" w:rsidP="00080C2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Crain MA, Bush AL, Hayanga H, Boyle A, Unger M, Ellison M, Ellison P. Healthcare Leadership in the COVID-19 Pandemic: From Innovative Preparation to Evolutionary Transformation. </w:t>
      </w:r>
      <w:r>
        <w:rPr>
          <w:rFonts w:ascii="Verdana" w:hAnsi="Verdana"/>
          <w:i/>
          <w:iCs/>
          <w:color w:val="666666"/>
          <w:sz w:val="18"/>
          <w:szCs w:val="18"/>
          <w:bdr w:val="none" w:sz="0" w:space="0" w:color="auto" w:frame="1"/>
          <w:shd w:val="clear" w:color="auto" w:fill="FFFFFF"/>
        </w:rPr>
        <w:t xml:space="preserve">J </w:t>
      </w:r>
      <w:proofErr w:type="spellStart"/>
      <w:r>
        <w:rPr>
          <w:rFonts w:ascii="Verdana" w:hAnsi="Verdana"/>
          <w:i/>
          <w:iCs/>
          <w:color w:val="666666"/>
          <w:sz w:val="18"/>
          <w:szCs w:val="18"/>
          <w:bdr w:val="none" w:sz="0" w:space="0" w:color="auto" w:frame="1"/>
          <w:shd w:val="clear" w:color="auto" w:fill="FFFFFF"/>
        </w:rPr>
        <w:t>Healthc</w:t>
      </w:r>
      <w:proofErr w:type="spellEnd"/>
      <w:r>
        <w:rPr>
          <w:rFonts w:ascii="Verdana" w:hAnsi="Verdana"/>
          <w:i/>
          <w:iCs/>
          <w:color w:val="666666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666666"/>
          <w:sz w:val="18"/>
          <w:szCs w:val="18"/>
          <w:bdr w:val="none" w:sz="0" w:space="0" w:color="auto" w:frame="1"/>
          <w:shd w:val="clear" w:color="auto" w:fill="FFFFFF"/>
        </w:rPr>
        <w:t>Leadersh</w:t>
      </w:r>
      <w:proofErr w:type="spellEnd"/>
      <w:r>
        <w:rPr>
          <w:rFonts w:ascii="Verdana" w:hAnsi="Verdana"/>
          <w:color w:val="666666"/>
          <w:sz w:val="18"/>
          <w:szCs w:val="18"/>
          <w:shd w:val="clear" w:color="auto" w:fill="FFFFFF"/>
        </w:rPr>
        <w:t>. 2021;13:199-207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https://doi.org/10.2147/JHL.S319829</w:t>
      </w:r>
    </w:p>
    <w:p w14:paraId="65D36CAE" w14:textId="7AFD4C6A" w:rsidR="00080C2C" w:rsidRDefault="00080C2C" w:rsidP="00080C2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74882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1. PMID: 31801377</w:t>
      </w:r>
    </w:p>
    <w:p w14:paraId="02D58875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How Pediatric Anesthesiologists Manage Children with OSA Undergoing Tonsillectomy.</w:t>
      </w:r>
    </w:p>
    <w:p w14:paraId="54E0B330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Roberts C, Al Sayegh R, Ellison PR, Sedeek K, Carr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MM.Ann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Otol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Rhinol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Laryngol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2020 Jan;129(1):55-62.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10.1177/0003489419874371.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2019 Sep 5.PMID: 31801377 Free PMC article.</w:t>
      </w:r>
    </w:p>
    <w:p w14:paraId="71EABD65" w14:textId="77777777" w:rsidR="00FD52FE" w:rsidRDefault="00FD52FE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F554A1" w14:textId="1E63B385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lastRenderedPageBreak/>
        <w:t>2. PMID: 33196330</w:t>
      </w:r>
    </w:p>
    <w:p w14:paraId="3CBCA165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Application of the Principles of Biomedical Ethics to the Labor and Delivery Unit During the COVID-19 Pandemic.</w:t>
      </w:r>
    </w:p>
    <w:p w14:paraId="2B8871BD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Boyle A, Dotson S, Ellison P, Hayanga H.J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Health (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Larchmt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). 2020 Nov;29(11):1361-1371.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>: 10.1089/jwh.2020.8812.PMID: 33196330</w:t>
      </w:r>
    </w:p>
    <w:p w14:paraId="1CD929A5" w14:textId="5570C1DA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3. PMID: 32908711</w:t>
      </w:r>
    </w:p>
    <w:p w14:paraId="521F6D77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Iatrogenic Superior Vena Cava Syndrome after Cardiopulmonary Bypass Diagnosed by Intraoperative Echocardiography.</w:t>
      </w:r>
    </w:p>
    <w:p w14:paraId="1AB755DC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Ellison MB, Statler A, Henrickson RE, Graff J, Sloyer D, Abbas Khan MA, Hayanga HK, Ellison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PR.Case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Rep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Anesthesiol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2020 Aug 18;2020:8813065.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10.1155/2020/8813065.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2020.PMID: 32908711 Free PMC article.</w:t>
      </w:r>
    </w:p>
    <w:p w14:paraId="49B31375" w14:textId="61C9B344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4. PMID: 31743117</w:t>
      </w:r>
    </w:p>
    <w:p w14:paraId="75FE46B8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A Novel Approach to Postoperative Ear Pain-Greater Auricular Nerve Block Catheter: A Case Report.</w:t>
      </w:r>
    </w:p>
    <w:p w14:paraId="36EBEB2B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Ellison MB, Howell S, Heiraty P, Wilson C, Shepherd J, Ellison PR.A A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2020 Jan 1;14(1):21-24.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>: 10.1213/XAA.0000000000001134.PMID: 31743117 Free PMC article.</w:t>
      </w:r>
    </w:p>
    <w:p w14:paraId="3AC523AC" w14:textId="11EF2733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5. PMID: 33123385</w:t>
      </w:r>
    </w:p>
    <w:p w14:paraId="37F6621D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Corrigendum to "Iatrogenic Superior Vena Cava Syndrome after Cardiopulmonary Bypass Diagnosed by Intraoperative Echocardiography".</w:t>
      </w:r>
    </w:p>
    <w:p w14:paraId="021ECA35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Ellison MB, Statler A, Henrickson RE, Graff J, Sloyer D, Khan MAA, Hayanga HK, Ellison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PR.Case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Rep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Anesthesiol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2020 Oct 13;2020:8179176.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10.1155/2020/8179176.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2020.PMID: 33123385 Free PMC article.</w:t>
      </w:r>
    </w:p>
    <w:p w14:paraId="34577BEB" w14:textId="1EBF8DCC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6. PMID: 34249560</w:t>
      </w:r>
    </w:p>
    <w:p w14:paraId="1B39B799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Clinical Impact of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Sugammadex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in the Reversal of Neuromuscular Blockade.</w:t>
      </w:r>
    </w:p>
    <w:p w14:paraId="1045182A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Goodner JA, Likar EJ, Hoff AL, Quedado JM, Kohli A, Ellison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P.Cureus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2021 Jun 3;13(6):e15413.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10.7759/cureus.15413.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Jun.PMID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>: 34249560 Free PMC article.</w:t>
      </w:r>
    </w:p>
    <w:p w14:paraId="5A5E5BC1" w14:textId="35AF7C6A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7. PMID: 33824845</w:t>
      </w:r>
    </w:p>
    <w:p w14:paraId="70F2EDAD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lastRenderedPageBreak/>
        <w:t>Incidence, Prevalence, and Outcomes of Pediatric Trauma in Rural Appalachia (West Virginia) From 2017 to 2019.</w:t>
      </w:r>
    </w:p>
    <w:p w14:paraId="3294FBA3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Ellison P, Cifarelli D, Pearce A, Moore L, Parrish D, Ellison M, Fazi A, Vanek T, Meltzer H, Knight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J.Cureus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2021 Apr 1;13(4):e14245.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>: 10.7759/cureus.14245.PMID: 33824845 Free PMC article.</w:t>
      </w:r>
    </w:p>
    <w:p w14:paraId="3C16A6EA" w14:textId="2844B5EB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8. PMID: 33585148</w:t>
      </w:r>
    </w:p>
    <w:p w14:paraId="4C0E43F0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Will Protective Innovations Like the "Airway Box" Become Routine Practice After the Pandemic?: An Opinion Survey.</w:t>
      </w:r>
    </w:p>
    <w:p w14:paraId="5A511B5D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Ellison P,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Nanners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B, Schaefer G, Krueger A, Dhumak V, Shepherd JL, Nguyen K, Allen K, Ellison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M.Cureus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2021 Feb 10;13(2):e13258.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>: 10.7759/cureus.13258.PMID: 33585148 Free PMC article.</w:t>
      </w:r>
    </w:p>
    <w:p w14:paraId="4422FC4C" w14:textId="7B7CCEA5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9. PMID: 33687737</w:t>
      </w:r>
    </w:p>
    <w:p w14:paraId="0D35C6D4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A survey of the global impact of COVID-19 on the practice of pediatric anesthesia: A study from the pediatric anesthesia COVID-19 Collaborative Group.</w:t>
      </w:r>
    </w:p>
    <w:p w14:paraId="631976F9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080C2C">
        <w:rPr>
          <w:rFonts w:ascii="Times New Roman" w:hAnsi="Times New Roman" w:cs="Times New Roman"/>
          <w:sz w:val="24"/>
          <w:szCs w:val="24"/>
        </w:rPr>
        <w:t>Soneru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CN, Fernandez AM, Bradford V, Staffa SJ, Raman VT,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Cravero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Zurakowski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D, Meier PM; Pediatric Anesthesia COVID-19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Collaborative.Paediatr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Anaesth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2021 Jun;31(6):720-729.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10.1111/pan.14174.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2021 May 3.PMID: 33687737 Free PMC article.</w:t>
      </w:r>
    </w:p>
    <w:p w14:paraId="62F624FE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Remove from clipboard </w:t>
      </w:r>
    </w:p>
    <w:p w14:paraId="4B2DE8CA" w14:textId="49ADCA40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B486BDF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Pacemaker.</w:t>
      </w:r>
    </w:p>
    <w:p w14:paraId="645F165D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Puette JA, Malek R, Ellison MB.2021 Jan 6. In: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[Internet]. Treasure Island (FL):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Publishing; 2021 Jan–.PMID: 30252257 Free Books &amp; Documents. Review.</w:t>
      </w:r>
    </w:p>
    <w:p w14:paraId="780932AA" w14:textId="6F03AFD1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3E98CBC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Intraoperative Echocardiography.</w:t>
      </w:r>
    </w:p>
    <w:p w14:paraId="01C8CE36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Ellison MB, Goldstein S, Anjum F, Grose BW.2021 Jun 4. In: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[Internet]. Treasure Island (FL):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Publishing; 2021 Jan–.PMID: 29763138 Free Books &amp; Documents. Review.</w:t>
      </w:r>
    </w:p>
    <w:p w14:paraId="2683B26B" w14:textId="7E109B88" w:rsidR="00080C2C" w:rsidRPr="00080C2C" w:rsidRDefault="00080C2C" w:rsidP="00FD52FE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07ABB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15112D5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Right Ventricular Hypertrophy.</w:t>
      </w:r>
    </w:p>
    <w:p w14:paraId="1E4C2004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Bhattacharya PT, Ellison MB.2021 Aug 7. In: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[Internet]. Treasure Island (FL):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StatPearls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Publishing; 2021 Jan–.PMID: 29763051 Free Books &amp; Documents. Review.</w:t>
      </w:r>
    </w:p>
    <w:p w14:paraId="49FB10DC" w14:textId="5E2B998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C2AEA6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Iatrogenic Superior Vena Cava Syndrome after Cardiopulmonary Bypass Diagnosed by Intraoperative Echocardiography.</w:t>
      </w:r>
    </w:p>
    <w:p w14:paraId="2AB2F145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Ellison MB, Statler A, Henrickson RE, Graff J, Sloyer D, Abbas Khan MA, Hayanga HK, Ellison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PR.Case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Rep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Anesthesiol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2020 Aug 18;2020:8813065.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10.1155/2020/8813065.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2020.PMID: 32908711 Free PMC article.</w:t>
      </w:r>
    </w:p>
    <w:p w14:paraId="2FDACE40" w14:textId="260B7A16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8274D28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A Novel Approach to Postoperative Ear Pain-Greater Auricular Nerve Block Catheter: A Case Report.</w:t>
      </w:r>
    </w:p>
    <w:p w14:paraId="16C7E48E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Ellison MB, Howell S, Heiraty P, Wilson C, Shepherd J, Ellison PR.A A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2020 Jan 1;14(1):21-24.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>: 10.1213/XAA.0000000000001134.PMID: 31743117 Free PMC article.</w:t>
      </w:r>
    </w:p>
    <w:p w14:paraId="16F514F9" w14:textId="2B34DCE8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3257AB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Corrigendum to "Iatrogenic Superior Vena Cava Syndrome after Cardiopulmonary Bypass Diagnosed by Intraoperative Echocardiography".</w:t>
      </w:r>
    </w:p>
    <w:p w14:paraId="4D5A1256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Ellison MB, Statler A, Henrickson RE, Graff J, Sloyer D, Khan MAA, Hayanga HK, Ellison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PR.Case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Rep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Anesthesiol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2020 Oct 13;2020:8179176.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10.1155/2020/8179176.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2020.PMID: 33123385 Free PMC article.</w:t>
      </w:r>
    </w:p>
    <w:p w14:paraId="70E518C0" w14:textId="4A0FA9BA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F37B8F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Patients should be extubated in the operating room after routine cardiac surgery: An inconvenient truth.</w:t>
      </w:r>
    </w:p>
    <w:p w14:paraId="5AD7CF86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Hayanga HK, Ellison MB, Badhwar V.JTCVS Tech. 2021 Apr 24;8:95-99.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10.1016/j.xjtc.2021.03.038.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Aug.PMID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>: 34401825 Free PMC article. No abstract available.</w:t>
      </w:r>
    </w:p>
    <w:p w14:paraId="6682D31C" w14:textId="053E820C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3E9D0E8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lastRenderedPageBreak/>
        <w:t>Transesophageal echocardiography probe cover: implementation of a cross-contamination containment strategy during the COVID-19 pandemic.</w:t>
      </w:r>
    </w:p>
    <w:p w14:paraId="7C003828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Bozek JS, Hayanga HK, Sengupta P, Abbas Khan MA, Ellison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MB.Braz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Anesthesiol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2021 Mar-Apr;71(2):200-201.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10.1016/j.bjane.2020.12.023.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2021 Feb 19.PMID: 33623175 Free PMC article. No abstract available.</w:t>
      </w:r>
    </w:p>
    <w:p w14:paraId="68FE712A" w14:textId="22111AD1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484DF9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Unexpected Evolution After Multivessel Coronary Artery Bypass Grafting in a Patient With Kawasaki Disease.</w:t>
      </w:r>
    </w:p>
    <w:p w14:paraId="64E40AA5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Victor S,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McKillion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KC, Puette JA,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McKillion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P, Ellison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MB.Cureus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2021 Jun 25;13(6):e15927.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10.7759/cureus.15927.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Jun.PMID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>: 34336430 Free PMC article.</w:t>
      </w:r>
    </w:p>
    <w:p w14:paraId="0CB8764C" w14:textId="2157749D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9F07AB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Ultrasound-Guided Greater Auricular Nerve Block as Sole Anesthetic for Ear Surgery.</w:t>
      </w:r>
    </w:p>
    <w:p w14:paraId="3EF5FE97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Ritchie MK, Wilson CA, Grose BW, Ranganathan P, Howell SM, Ellison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MB.Clin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Pract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. 2016 May 23;6(2):856.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10.4081/cp.2016.856.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eCollection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2016 Apr 26.PMID: 27478586 Free PMC article.</w:t>
      </w:r>
    </w:p>
    <w:p w14:paraId="75E79035" w14:textId="77777777" w:rsidR="00080C2C" w:rsidRP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>A randomized control trial using intraoperative dexmedetomidine during Roux-en-Y gastric bypass surgery to reduce postoperative pain and narcotic use.</w:t>
      </w:r>
    </w:p>
    <w:p w14:paraId="4F943C96" w14:textId="683E65C4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  <w:r w:rsidRPr="00080C2C">
        <w:rPr>
          <w:rFonts w:ascii="Times New Roman" w:hAnsi="Times New Roman" w:cs="Times New Roman"/>
          <w:sz w:val="24"/>
          <w:szCs w:val="24"/>
        </w:rPr>
        <w:t xml:space="preserve">Ranganathan P, Ritchie MK, Ellison MB, Petrone A, Heiraty P, Tabone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LE.Surg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Obes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Relat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Dis. 2019 Apr;15(4):588-594.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: 10.1016/j.soard.2019.01.021. </w:t>
      </w:r>
      <w:proofErr w:type="spellStart"/>
      <w:r w:rsidRPr="00080C2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080C2C">
        <w:rPr>
          <w:rFonts w:ascii="Times New Roman" w:hAnsi="Times New Roman" w:cs="Times New Roman"/>
          <w:sz w:val="24"/>
          <w:szCs w:val="24"/>
        </w:rPr>
        <w:t xml:space="preserve"> 2019 Jan 31.PMID: 30824336 Clinical Trial.</w:t>
      </w:r>
    </w:p>
    <w:p w14:paraId="3CD2F44F" w14:textId="03F347F4" w:rsidR="00F40F9B" w:rsidRDefault="00F40F9B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2E04166" w14:textId="77777777" w:rsidR="00F40F9B" w:rsidRPr="00F40F9B" w:rsidRDefault="00F40F9B" w:rsidP="00F40F9B">
      <w:pPr>
        <w:ind w:left="720"/>
        <w:rPr>
          <w:rFonts w:ascii="Times New Roman" w:hAnsi="Times New Roman" w:cs="Times New Roman"/>
          <w:sz w:val="24"/>
          <w:szCs w:val="24"/>
        </w:rPr>
      </w:pPr>
      <w:r w:rsidRPr="00F40F9B">
        <w:rPr>
          <w:rFonts w:ascii="Times New Roman" w:hAnsi="Times New Roman" w:cs="Times New Roman"/>
          <w:sz w:val="24"/>
          <w:szCs w:val="24"/>
        </w:rPr>
        <w:t>Authors</w:t>
      </w:r>
      <w:r w:rsidRPr="00F40F9B">
        <w:rPr>
          <w:rFonts w:ascii="Times New Roman" w:hAnsi="Times New Roman" w:cs="Times New Roman"/>
          <w:sz w:val="24"/>
          <w:szCs w:val="24"/>
        </w:rPr>
        <w:tab/>
        <w:t>Title</w:t>
      </w:r>
      <w:r w:rsidRPr="00F40F9B">
        <w:rPr>
          <w:rFonts w:ascii="Times New Roman" w:hAnsi="Times New Roman" w:cs="Times New Roman"/>
          <w:sz w:val="24"/>
          <w:szCs w:val="24"/>
        </w:rPr>
        <w:tab/>
        <w:t>Publication</w:t>
      </w:r>
      <w:r w:rsidRPr="00F40F9B">
        <w:rPr>
          <w:rFonts w:ascii="Times New Roman" w:hAnsi="Times New Roman" w:cs="Times New Roman"/>
          <w:sz w:val="24"/>
          <w:szCs w:val="24"/>
        </w:rPr>
        <w:tab/>
        <w:t>Volume</w:t>
      </w:r>
      <w:r w:rsidRPr="00F40F9B">
        <w:rPr>
          <w:rFonts w:ascii="Times New Roman" w:hAnsi="Times New Roman" w:cs="Times New Roman"/>
          <w:sz w:val="24"/>
          <w:szCs w:val="24"/>
        </w:rPr>
        <w:tab/>
        <w:t>Number</w:t>
      </w:r>
      <w:r w:rsidRPr="00F40F9B">
        <w:rPr>
          <w:rFonts w:ascii="Times New Roman" w:hAnsi="Times New Roman" w:cs="Times New Roman"/>
          <w:sz w:val="24"/>
          <w:szCs w:val="24"/>
        </w:rPr>
        <w:tab/>
        <w:t>Pages</w:t>
      </w:r>
      <w:r w:rsidRPr="00F40F9B">
        <w:rPr>
          <w:rFonts w:ascii="Times New Roman" w:hAnsi="Times New Roman" w:cs="Times New Roman"/>
          <w:sz w:val="24"/>
          <w:szCs w:val="24"/>
        </w:rPr>
        <w:tab/>
        <w:t>Year</w:t>
      </w:r>
      <w:r w:rsidRPr="00F40F9B">
        <w:rPr>
          <w:rFonts w:ascii="Times New Roman" w:hAnsi="Times New Roman" w:cs="Times New Roman"/>
          <w:sz w:val="24"/>
          <w:szCs w:val="24"/>
        </w:rPr>
        <w:tab/>
        <w:t>Publisher</w:t>
      </w:r>
    </w:p>
    <w:p w14:paraId="403993D6" w14:textId="77777777" w:rsidR="00F40F9B" w:rsidRPr="00F40F9B" w:rsidRDefault="00F40F9B" w:rsidP="00F40F9B">
      <w:pPr>
        <w:ind w:left="720"/>
        <w:rPr>
          <w:rFonts w:ascii="Times New Roman" w:hAnsi="Times New Roman" w:cs="Times New Roman"/>
          <w:sz w:val="24"/>
          <w:szCs w:val="24"/>
        </w:rPr>
      </w:pPr>
      <w:r w:rsidRPr="00F40F9B">
        <w:rPr>
          <w:rFonts w:ascii="Times New Roman" w:hAnsi="Times New Roman" w:cs="Times New Roman"/>
          <w:sz w:val="24"/>
          <w:szCs w:val="24"/>
        </w:rPr>
        <w:t xml:space="preserve">Ranganathan, Pavithra; Ritchie, Michael K; Ellison, Matthew B; Petrone, Ashley; Heiraty, Payam; Tabone, Lawrence E; </w:t>
      </w:r>
      <w:r w:rsidRPr="00F40F9B">
        <w:rPr>
          <w:rFonts w:ascii="Times New Roman" w:hAnsi="Times New Roman" w:cs="Times New Roman"/>
          <w:sz w:val="24"/>
          <w:szCs w:val="24"/>
        </w:rPr>
        <w:tab/>
        <w:t>A randomized control trial using intraoperative dexmedetomidine during Roux-en-Y gastric bypass surgery to reduce postoperative pain and narcotic use</w:t>
      </w:r>
      <w:r w:rsidRPr="00F40F9B">
        <w:rPr>
          <w:rFonts w:ascii="Times New Roman" w:hAnsi="Times New Roman" w:cs="Times New Roman"/>
          <w:sz w:val="24"/>
          <w:szCs w:val="24"/>
        </w:rPr>
        <w:tab/>
        <w:t>Surgery for Obesity and Related Diseases</w:t>
      </w:r>
      <w:r w:rsidRPr="00F40F9B">
        <w:rPr>
          <w:rFonts w:ascii="Times New Roman" w:hAnsi="Times New Roman" w:cs="Times New Roman"/>
          <w:sz w:val="24"/>
          <w:szCs w:val="24"/>
        </w:rPr>
        <w:tab/>
        <w:t>15</w:t>
      </w:r>
      <w:r w:rsidRPr="00F40F9B">
        <w:rPr>
          <w:rFonts w:ascii="Times New Roman" w:hAnsi="Times New Roman" w:cs="Times New Roman"/>
          <w:sz w:val="24"/>
          <w:szCs w:val="24"/>
        </w:rPr>
        <w:tab/>
        <w:t>4</w:t>
      </w:r>
      <w:r w:rsidRPr="00F40F9B">
        <w:rPr>
          <w:rFonts w:ascii="Times New Roman" w:hAnsi="Times New Roman" w:cs="Times New Roman"/>
          <w:sz w:val="24"/>
          <w:szCs w:val="24"/>
        </w:rPr>
        <w:tab/>
        <w:t>588-594</w:t>
      </w:r>
      <w:r w:rsidRPr="00F40F9B">
        <w:rPr>
          <w:rFonts w:ascii="Times New Roman" w:hAnsi="Times New Roman" w:cs="Times New Roman"/>
          <w:sz w:val="24"/>
          <w:szCs w:val="24"/>
        </w:rPr>
        <w:tab/>
        <w:t>2019</w:t>
      </w:r>
      <w:r w:rsidRPr="00F40F9B">
        <w:rPr>
          <w:rFonts w:ascii="Times New Roman" w:hAnsi="Times New Roman" w:cs="Times New Roman"/>
          <w:sz w:val="24"/>
          <w:szCs w:val="24"/>
        </w:rPr>
        <w:tab/>
        <w:t>Elsevier</w:t>
      </w:r>
    </w:p>
    <w:p w14:paraId="7BE951E7" w14:textId="77777777" w:rsidR="00F40F9B" w:rsidRPr="00F40F9B" w:rsidRDefault="00F40F9B" w:rsidP="00F40F9B">
      <w:pPr>
        <w:ind w:left="720"/>
        <w:rPr>
          <w:rFonts w:ascii="Times New Roman" w:hAnsi="Times New Roman" w:cs="Times New Roman"/>
          <w:sz w:val="24"/>
          <w:szCs w:val="24"/>
        </w:rPr>
      </w:pPr>
      <w:r w:rsidRPr="00F40F9B">
        <w:rPr>
          <w:rFonts w:ascii="Times New Roman" w:hAnsi="Times New Roman" w:cs="Times New Roman"/>
          <w:sz w:val="24"/>
          <w:szCs w:val="24"/>
        </w:rPr>
        <w:t xml:space="preserve">Orser, Beverley A; Wilson, C Ruth; Rotstein, Alexandra J; Iglesias, Stuart J; Spain, Brian T; Ranganathan, Pavithra; MacDonald, William A; Ng, Victor; O’Leary, Susan; Lafontaine, Alika; </w:t>
      </w:r>
      <w:r w:rsidRPr="00F40F9B">
        <w:rPr>
          <w:rFonts w:ascii="Times New Roman" w:hAnsi="Times New Roman" w:cs="Times New Roman"/>
          <w:sz w:val="24"/>
          <w:szCs w:val="24"/>
        </w:rPr>
        <w:tab/>
        <w:t xml:space="preserve">Improving access to safe anesthetic care in rural and remote </w:t>
      </w:r>
      <w:r w:rsidRPr="00F40F9B">
        <w:rPr>
          <w:rFonts w:ascii="Times New Roman" w:hAnsi="Times New Roman" w:cs="Times New Roman"/>
          <w:sz w:val="24"/>
          <w:szCs w:val="24"/>
        </w:rPr>
        <w:lastRenderedPageBreak/>
        <w:t>communities in affluent countries</w:t>
      </w:r>
      <w:r w:rsidRPr="00F40F9B">
        <w:rPr>
          <w:rFonts w:ascii="Times New Roman" w:hAnsi="Times New Roman" w:cs="Times New Roman"/>
          <w:sz w:val="24"/>
          <w:szCs w:val="24"/>
        </w:rPr>
        <w:tab/>
        <w:t>Anesthesia &amp; Analgesia</w:t>
      </w:r>
      <w:r w:rsidRPr="00F40F9B">
        <w:rPr>
          <w:rFonts w:ascii="Times New Roman" w:hAnsi="Times New Roman" w:cs="Times New Roman"/>
          <w:sz w:val="24"/>
          <w:szCs w:val="24"/>
        </w:rPr>
        <w:tab/>
        <w:t>129</w:t>
      </w:r>
      <w:r w:rsidRPr="00F40F9B">
        <w:rPr>
          <w:rFonts w:ascii="Times New Roman" w:hAnsi="Times New Roman" w:cs="Times New Roman"/>
          <w:sz w:val="24"/>
          <w:szCs w:val="24"/>
        </w:rPr>
        <w:tab/>
        <w:t>1</w:t>
      </w:r>
      <w:r w:rsidRPr="00F40F9B">
        <w:rPr>
          <w:rFonts w:ascii="Times New Roman" w:hAnsi="Times New Roman" w:cs="Times New Roman"/>
          <w:sz w:val="24"/>
          <w:szCs w:val="24"/>
        </w:rPr>
        <w:tab/>
        <w:t>294-300</w:t>
      </w:r>
      <w:r w:rsidRPr="00F40F9B">
        <w:rPr>
          <w:rFonts w:ascii="Times New Roman" w:hAnsi="Times New Roman" w:cs="Times New Roman"/>
          <w:sz w:val="24"/>
          <w:szCs w:val="24"/>
        </w:rPr>
        <w:tab/>
        <w:t>2019</w:t>
      </w:r>
      <w:r w:rsidRPr="00F40F9B">
        <w:rPr>
          <w:rFonts w:ascii="Times New Roman" w:hAnsi="Times New Roman" w:cs="Times New Roman"/>
          <w:sz w:val="24"/>
          <w:szCs w:val="24"/>
        </w:rPr>
        <w:tab/>
        <w:t>LWW</w:t>
      </w:r>
    </w:p>
    <w:p w14:paraId="40F810F7" w14:textId="77777777" w:rsidR="00F40F9B" w:rsidRPr="00F40F9B" w:rsidRDefault="00F40F9B" w:rsidP="00F40F9B">
      <w:pPr>
        <w:ind w:left="720"/>
        <w:rPr>
          <w:rFonts w:ascii="Times New Roman" w:hAnsi="Times New Roman" w:cs="Times New Roman"/>
          <w:sz w:val="24"/>
          <w:szCs w:val="24"/>
        </w:rPr>
      </w:pPr>
      <w:r w:rsidRPr="00F40F9B">
        <w:rPr>
          <w:rFonts w:ascii="Times New Roman" w:hAnsi="Times New Roman" w:cs="Times New Roman"/>
          <w:sz w:val="24"/>
          <w:szCs w:val="24"/>
        </w:rPr>
        <w:t xml:space="preserve">Wilson, C Ruth; Rotstein, Alexandra J; Iglesias, Stuart J; Spain, Brian T; Ranganathan, Pavithra; Ng, Victor; O’Leary, Susan; Lafontaine, Alika; </w:t>
      </w:r>
      <w:r w:rsidRPr="00F40F9B">
        <w:rPr>
          <w:rFonts w:ascii="Times New Roman" w:hAnsi="Times New Roman" w:cs="Times New Roman"/>
          <w:sz w:val="24"/>
          <w:szCs w:val="24"/>
        </w:rPr>
        <w:tab/>
        <w:t>Improving Access to Safe Anesthetic Care in Rural and Remote Communities in Affluent Countries</w:t>
      </w:r>
      <w:r w:rsidRPr="00F40F9B">
        <w:rPr>
          <w:rFonts w:ascii="Times New Roman" w:hAnsi="Times New Roman" w:cs="Times New Roman"/>
          <w:sz w:val="24"/>
          <w:szCs w:val="24"/>
        </w:rPr>
        <w:tab/>
      </w:r>
      <w:r w:rsidRPr="00F40F9B">
        <w:rPr>
          <w:rFonts w:ascii="Times New Roman" w:hAnsi="Times New Roman" w:cs="Times New Roman"/>
          <w:sz w:val="24"/>
          <w:szCs w:val="24"/>
        </w:rPr>
        <w:tab/>
      </w:r>
      <w:r w:rsidRPr="00F40F9B">
        <w:rPr>
          <w:rFonts w:ascii="Times New Roman" w:hAnsi="Times New Roman" w:cs="Times New Roman"/>
          <w:sz w:val="24"/>
          <w:szCs w:val="24"/>
        </w:rPr>
        <w:tab/>
      </w:r>
      <w:r w:rsidRPr="00F40F9B">
        <w:rPr>
          <w:rFonts w:ascii="Times New Roman" w:hAnsi="Times New Roman" w:cs="Times New Roman"/>
          <w:sz w:val="24"/>
          <w:szCs w:val="24"/>
        </w:rPr>
        <w:tab/>
      </w:r>
      <w:r w:rsidRPr="00F40F9B">
        <w:rPr>
          <w:rFonts w:ascii="Times New Roman" w:hAnsi="Times New Roman" w:cs="Times New Roman"/>
          <w:sz w:val="24"/>
          <w:szCs w:val="24"/>
        </w:rPr>
        <w:tab/>
        <w:t>2019</w:t>
      </w:r>
      <w:r w:rsidRPr="00F40F9B">
        <w:rPr>
          <w:rFonts w:ascii="Times New Roman" w:hAnsi="Times New Roman" w:cs="Times New Roman"/>
          <w:sz w:val="24"/>
          <w:szCs w:val="24"/>
        </w:rPr>
        <w:tab/>
      </w:r>
    </w:p>
    <w:p w14:paraId="07AFABED" w14:textId="77777777" w:rsidR="00F40F9B" w:rsidRPr="00F40F9B" w:rsidRDefault="00F40F9B" w:rsidP="00F40F9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0F9B">
        <w:rPr>
          <w:rFonts w:ascii="Times New Roman" w:hAnsi="Times New Roman" w:cs="Times New Roman"/>
          <w:sz w:val="24"/>
          <w:szCs w:val="24"/>
        </w:rPr>
        <w:t>Jalali</w:t>
      </w:r>
      <w:proofErr w:type="spellEnd"/>
      <w:r w:rsidRPr="00F40F9B">
        <w:rPr>
          <w:rFonts w:ascii="Times New Roman" w:hAnsi="Times New Roman" w:cs="Times New Roman"/>
          <w:sz w:val="24"/>
          <w:szCs w:val="24"/>
        </w:rPr>
        <w:t xml:space="preserve">, Ali; Lonsdale, Hannah; Zamora, Lillian V; </w:t>
      </w:r>
      <w:proofErr w:type="spellStart"/>
      <w:r w:rsidRPr="00F40F9B">
        <w:rPr>
          <w:rFonts w:ascii="Times New Roman" w:hAnsi="Times New Roman" w:cs="Times New Roman"/>
          <w:sz w:val="24"/>
          <w:szCs w:val="24"/>
        </w:rPr>
        <w:t>Ahumada</w:t>
      </w:r>
      <w:proofErr w:type="spellEnd"/>
      <w:r w:rsidRPr="00F40F9B">
        <w:rPr>
          <w:rFonts w:ascii="Times New Roman" w:hAnsi="Times New Roman" w:cs="Times New Roman"/>
          <w:sz w:val="24"/>
          <w:szCs w:val="24"/>
        </w:rPr>
        <w:t xml:space="preserve">, Luis; Nguyen, Anh Thy H; Rehman, Mohamed; Fackler, James; Stricker, Paul A; Fernandez, Allison M; </w:t>
      </w:r>
      <w:proofErr w:type="spellStart"/>
      <w:r w:rsidRPr="00F40F9B">
        <w:rPr>
          <w:rFonts w:ascii="Times New Roman" w:hAnsi="Times New Roman" w:cs="Times New Roman"/>
          <w:sz w:val="24"/>
          <w:szCs w:val="24"/>
        </w:rPr>
        <w:t>Abruzzese</w:t>
      </w:r>
      <w:proofErr w:type="spellEnd"/>
      <w:r w:rsidRPr="00F40F9B">
        <w:rPr>
          <w:rFonts w:ascii="Times New Roman" w:hAnsi="Times New Roman" w:cs="Times New Roman"/>
          <w:sz w:val="24"/>
          <w:szCs w:val="24"/>
        </w:rPr>
        <w:t xml:space="preserve">, Christopher; </w:t>
      </w:r>
      <w:r w:rsidRPr="00F40F9B">
        <w:rPr>
          <w:rFonts w:ascii="Times New Roman" w:hAnsi="Times New Roman" w:cs="Times New Roman"/>
          <w:sz w:val="24"/>
          <w:szCs w:val="24"/>
        </w:rPr>
        <w:tab/>
        <w:t>Machine learning applied to registry data: development of a patient-specific prediction model for blood transfusion requirements during craniofacial surgery using the pediatric craniofacial perioperative registry dataset</w:t>
      </w:r>
      <w:r w:rsidRPr="00F40F9B">
        <w:rPr>
          <w:rFonts w:ascii="Times New Roman" w:hAnsi="Times New Roman" w:cs="Times New Roman"/>
          <w:sz w:val="24"/>
          <w:szCs w:val="24"/>
        </w:rPr>
        <w:tab/>
        <w:t>Anesthesia &amp; Analgesia</w:t>
      </w:r>
      <w:r w:rsidRPr="00F40F9B">
        <w:rPr>
          <w:rFonts w:ascii="Times New Roman" w:hAnsi="Times New Roman" w:cs="Times New Roman"/>
          <w:sz w:val="24"/>
          <w:szCs w:val="24"/>
        </w:rPr>
        <w:tab/>
        <w:t>132</w:t>
      </w:r>
      <w:r w:rsidRPr="00F40F9B">
        <w:rPr>
          <w:rFonts w:ascii="Times New Roman" w:hAnsi="Times New Roman" w:cs="Times New Roman"/>
          <w:sz w:val="24"/>
          <w:szCs w:val="24"/>
        </w:rPr>
        <w:tab/>
        <w:t>1</w:t>
      </w:r>
      <w:r w:rsidRPr="00F40F9B">
        <w:rPr>
          <w:rFonts w:ascii="Times New Roman" w:hAnsi="Times New Roman" w:cs="Times New Roman"/>
          <w:sz w:val="24"/>
          <w:szCs w:val="24"/>
        </w:rPr>
        <w:tab/>
        <w:t>160-171</w:t>
      </w:r>
      <w:r w:rsidRPr="00F40F9B">
        <w:rPr>
          <w:rFonts w:ascii="Times New Roman" w:hAnsi="Times New Roman" w:cs="Times New Roman"/>
          <w:sz w:val="24"/>
          <w:szCs w:val="24"/>
        </w:rPr>
        <w:tab/>
        <w:t>2020</w:t>
      </w:r>
      <w:r w:rsidRPr="00F40F9B">
        <w:rPr>
          <w:rFonts w:ascii="Times New Roman" w:hAnsi="Times New Roman" w:cs="Times New Roman"/>
          <w:sz w:val="24"/>
          <w:szCs w:val="24"/>
        </w:rPr>
        <w:tab/>
        <w:t>Wolters Kluwer</w:t>
      </w:r>
    </w:p>
    <w:p w14:paraId="271C1989" w14:textId="71C984E9" w:rsidR="00F40F9B" w:rsidRDefault="00F40F9B" w:rsidP="00F40F9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40F9B">
        <w:rPr>
          <w:rFonts w:ascii="Times New Roman" w:hAnsi="Times New Roman" w:cs="Times New Roman"/>
          <w:sz w:val="24"/>
          <w:szCs w:val="24"/>
        </w:rPr>
        <w:t>Derderian</w:t>
      </w:r>
      <w:proofErr w:type="spellEnd"/>
      <w:r w:rsidRPr="00F40F9B">
        <w:rPr>
          <w:rFonts w:ascii="Times New Roman" w:hAnsi="Times New Roman" w:cs="Times New Roman"/>
          <w:sz w:val="24"/>
          <w:szCs w:val="24"/>
        </w:rPr>
        <w:t xml:space="preserve">, Courtney K; </w:t>
      </w:r>
      <w:proofErr w:type="spellStart"/>
      <w:r w:rsidRPr="00F40F9B">
        <w:rPr>
          <w:rFonts w:ascii="Times New Roman" w:hAnsi="Times New Roman" w:cs="Times New Roman"/>
          <w:sz w:val="24"/>
          <w:szCs w:val="24"/>
        </w:rPr>
        <w:t>Derderian</w:t>
      </w:r>
      <w:proofErr w:type="spellEnd"/>
      <w:r w:rsidRPr="00F40F9B">
        <w:rPr>
          <w:rFonts w:ascii="Times New Roman" w:hAnsi="Times New Roman" w:cs="Times New Roman"/>
          <w:sz w:val="24"/>
          <w:szCs w:val="24"/>
        </w:rPr>
        <w:t xml:space="preserve">, Christopher A; Fernandez, Allison; Glover, Chris D; Goobie, Susan; Hansen, Jennifer K; King, Michael; Kugler, Jane; Lang, Shih‐Shan; Meier‐Haran, Petra; </w:t>
      </w:r>
      <w:r w:rsidRPr="00F40F9B">
        <w:rPr>
          <w:rFonts w:ascii="Times New Roman" w:hAnsi="Times New Roman" w:cs="Times New Roman"/>
          <w:sz w:val="24"/>
          <w:szCs w:val="24"/>
        </w:rPr>
        <w:tab/>
        <w:t>The Pediatric Craniofacial Collaborative Group (PCCG) Consensus Conference Methodology</w:t>
      </w:r>
      <w:r w:rsidRPr="00F40F9B">
        <w:rPr>
          <w:rFonts w:ascii="Times New Roman" w:hAnsi="Times New Roman" w:cs="Times New Roman"/>
          <w:sz w:val="24"/>
          <w:szCs w:val="24"/>
        </w:rPr>
        <w:tab/>
        <w:t>Pediatric Anesthesia</w:t>
      </w:r>
      <w:r w:rsidRPr="00F40F9B">
        <w:rPr>
          <w:rFonts w:ascii="Times New Roman" w:hAnsi="Times New Roman" w:cs="Times New Roman"/>
          <w:sz w:val="24"/>
          <w:szCs w:val="24"/>
        </w:rPr>
        <w:tab/>
        <w:t>31</w:t>
      </w:r>
      <w:r w:rsidRPr="00F40F9B">
        <w:rPr>
          <w:rFonts w:ascii="Times New Roman" w:hAnsi="Times New Roman" w:cs="Times New Roman"/>
          <w:sz w:val="24"/>
          <w:szCs w:val="24"/>
        </w:rPr>
        <w:tab/>
        <w:t>2</w:t>
      </w:r>
      <w:r w:rsidRPr="00F40F9B">
        <w:rPr>
          <w:rFonts w:ascii="Times New Roman" w:hAnsi="Times New Roman" w:cs="Times New Roman"/>
          <w:sz w:val="24"/>
          <w:szCs w:val="24"/>
        </w:rPr>
        <w:tab/>
        <w:t>145-149</w:t>
      </w:r>
      <w:r w:rsidRPr="00F40F9B">
        <w:rPr>
          <w:rFonts w:ascii="Times New Roman" w:hAnsi="Times New Roman" w:cs="Times New Roman"/>
          <w:sz w:val="24"/>
          <w:szCs w:val="24"/>
        </w:rPr>
        <w:tab/>
        <w:t>2021</w:t>
      </w:r>
      <w:r w:rsidRPr="00F40F9B">
        <w:rPr>
          <w:rFonts w:ascii="Times New Roman" w:hAnsi="Times New Roman" w:cs="Times New Roman"/>
          <w:sz w:val="24"/>
          <w:szCs w:val="24"/>
        </w:rPr>
        <w:tab/>
      </w:r>
    </w:p>
    <w:p w14:paraId="5AFCCB11" w14:textId="77777777" w:rsidR="00F40F9B" w:rsidRPr="00080C2C" w:rsidRDefault="00F40F9B" w:rsidP="00F40F9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2696C5A" w14:textId="77777777" w:rsidR="00080C2C" w:rsidRDefault="00080C2C" w:rsidP="00080C2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CBDBCBC" w14:textId="77777777" w:rsidR="00080C2C" w:rsidRDefault="00080C2C" w:rsidP="00D6027F"/>
    <w:p w14:paraId="50A99C3B" w14:textId="15DB5A21" w:rsidR="00080C2C" w:rsidRDefault="00080C2C" w:rsidP="00D6027F"/>
    <w:p w14:paraId="1B1D5D89" w14:textId="77777777" w:rsidR="00080C2C" w:rsidRDefault="00080C2C" w:rsidP="00D6027F"/>
    <w:sectPr w:rsidR="0008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027F"/>
    <w:rsid w:val="00080C2C"/>
    <w:rsid w:val="00310A2B"/>
    <w:rsid w:val="00D6027F"/>
    <w:rsid w:val="00F40F9B"/>
    <w:rsid w:val="00FA540B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DEDF"/>
  <w15:chartTrackingRefBased/>
  <w15:docId w15:val="{E4BFCCD0-5D70-4636-9D9B-0AD1DC92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2472</Words>
  <Characters>14096</Characters>
  <Application>Microsoft Office Word</Application>
  <DocSecurity>0</DocSecurity>
  <Lines>117</Lines>
  <Paragraphs>33</Paragraphs>
  <ScaleCrop>false</ScaleCrop>
  <Company>WVU Medicine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Pavithra</dc:creator>
  <cp:keywords/>
  <dc:description/>
  <cp:lastModifiedBy>Ellison, Pavithra</cp:lastModifiedBy>
  <cp:revision>2</cp:revision>
  <dcterms:created xsi:type="dcterms:W3CDTF">2021-09-10T18:14:00Z</dcterms:created>
  <dcterms:modified xsi:type="dcterms:W3CDTF">2021-09-10T18:43:00Z</dcterms:modified>
</cp:coreProperties>
</file>